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adjustRightInd w:val="0"/>
        <w:snapToGrid w:val="0"/>
        <w:spacing w:line="560" w:lineRule="exact"/>
        <w:jc w:val="center"/>
        <w:rPr>
          <w:b w:val="0"/>
          <w:color w:val="auto"/>
          <w:szCs w:val="44"/>
          <w:highlight w:val="none"/>
          <w:lang w:val="zh-CN"/>
        </w:rPr>
      </w:pPr>
      <w:bookmarkStart w:id="0" w:name="_Toc9692"/>
      <w:bookmarkStart w:id="1" w:name="_Toc132186973"/>
      <w:bookmarkStart w:id="2" w:name="_Toc130661176"/>
      <w:bookmarkStart w:id="3" w:name="_Toc30564"/>
      <w:bookmarkStart w:id="4" w:name="_Toc132191257"/>
      <w:bookmarkStart w:id="5" w:name="_Toc21632"/>
      <w:bookmarkStart w:id="6" w:name="_Toc112317781"/>
      <w:bookmarkStart w:id="7" w:name="_Toc128154366"/>
      <w:bookmarkStart w:id="8" w:name="_Toc28545"/>
      <w:bookmarkStart w:id="9" w:name="_Toc32050"/>
      <w:bookmarkStart w:id="10" w:name="_Toc130888005"/>
      <w:bookmarkStart w:id="11" w:name="_Toc112768491"/>
      <w:bookmarkStart w:id="12" w:name="_Toc128470293"/>
      <w:r>
        <w:rPr>
          <w:rFonts w:hint="eastAsia"/>
          <w:b w:val="0"/>
          <w:color w:val="auto"/>
          <w:szCs w:val="44"/>
          <w:highlight w:val="none"/>
          <w:lang w:val="zh-CN"/>
        </w:rPr>
        <w:t>采购项目商务和技术要求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6"/>
        <w:spacing w:before="0" w:after="0" w:line="560" w:lineRule="exact"/>
        <w:ind w:firstLine="560" w:firstLineChars="200"/>
        <w:rPr>
          <w:rFonts w:ascii="黑体" w:hAnsi="黑体" w:cs="黑体"/>
          <w:b w:val="0"/>
          <w:color w:val="auto"/>
          <w:sz w:val="28"/>
          <w:szCs w:val="28"/>
          <w:highlight w:val="none"/>
        </w:rPr>
      </w:pPr>
      <w:bookmarkStart w:id="13" w:name="_Toc132186974"/>
      <w:bookmarkStart w:id="14" w:name="_Toc132191258"/>
      <w:bookmarkStart w:id="15" w:name="_Toc112768493"/>
      <w:bookmarkStart w:id="16" w:name="_Toc128154367"/>
      <w:bookmarkStart w:id="17" w:name="_Toc13168"/>
      <w:bookmarkStart w:id="18" w:name="_Toc22977"/>
      <w:bookmarkStart w:id="19" w:name="_Toc130888006"/>
      <w:bookmarkStart w:id="20" w:name="_Toc14060"/>
      <w:bookmarkStart w:id="21" w:name="_Toc128470294"/>
      <w:bookmarkStart w:id="22" w:name="_Toc32238"/>
      <w:bookmarkStart w:id="23" w:name="_Toc112681847"/>
      <w:bookmarkStart w:id="24" w:name="_Toc22203"/>
      <w:bookmarkStart w:id="25" w:name="_Toc285612596"/>
      <w:r>
        <w:rPr>
          <w:rFonts w:hint="eastAsia" w:ascii="黑体" w:hAnsi="黑体" w:cs="黑体"/>
          <w:b w:val="0"/>
          <w:color w:val="auto"/>
          <w:sz w:val="28"/>
          <w:szCs w:val="28"/>
          <w:highlight w:val="none"/>
        </w:rPr>
        <w:t>一、商务要求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pStyle w:val="11"/>
        <w:spacing w:line="560" w:lineRule="exact"/>
        <w:ind w:left="11"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（一）</w:t>
      </w:r>
      <w:r>
        <w:rPr>
          <w:rFonts w:hAnsi="宋体"/>
          <w:bCs/>
          <w:color w:val="auto"/>
          <w:sz w:val="28"/>
          <w:szCs w:val="28"/>
          <w:highlight w:val="none"/>
        </w:rPr>
        <w:t>交货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时间</w:t>
      </w:r>
      <w:r>
        <w:rPr>
          <w:rFonts w:hAnsi="宋体"/>
          <w:bCs/>
          <w:color w:val="auto"/>
          <w:sz w:val="28"/>
          <w:szCs w:val="28"/>
          <w:highlight w:val="none"/>
        </w:rPr>
        <w:t>、地点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和方式</w:t>
      </w:r>
    </w:p>
    <w:p>
      <w:pPr>
        <w:pStyle w:val="11"/>
        <w:spacing w:line="560" w:lineRule="exact"/>
        <w:ind w:firstLine="560"/>
        <w:rPr>
          <w:rFonts w:hint="default" w:hAnsi="宋体" w:eastAsia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hAnsi="宋体" w:cs="宋体"/>
          <w:bCs/>
          <w:color w:val="auto"/>
          <w:sz w:val="28"/>
          <w:szCs w:val="28"/>
          <w:highlight w:val="none"/>
        </w:rPr>
        <w:t>1.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交货时间：合同签订之日起</w:t>
      </w:r>
      <w:r>
        <w:rPr>
          <w:rFonts w:hAnsi="宋体"/>
          <w:bCs/>
          <w:color w:val="auto"/>
          <w:sz w:val="28"/>
          <w:szCs w:val="28"/>
          <w:highlight w:val="none"/>
        </w:rPr>
        <w:t xml:space="preserve"> </w:t>
      </w:r>
      <w:r>
        <w:rPr>
          <w:rFonts w:hAnsi="宋体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Ansi="宋体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天内全部交货并安装调试完毕。</w:t>
      </w:r>
      <w:r>
        <w:rPr>
          <w:rFonts w:hint="eastAsia" w:hAnsi="宋体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hAnsi="宋体"/>
          <w:bCs/>
          <w:color w:val="auto"/>
          <w:sz w:val="28"/>
          <w:szCs w:val="28"/>
          <w:highlight w:val="none"/>
          <w:lang w:val="en-US" w:eastAsia="zh-CN"/>
        </w:rPr>
        <w:t>说明：需海关办理的物次，到货时间为合同签订之日起150天内；不需要海关办理的物资，到货时间为合同签订之日起90天内）。</w:t>
      </w:r>
    </w:p>
    <w:p>
      <w:pPr>
        <w:pStyle w:val="11"/>
        <w:spacing w:line="560" w:lineRule="exact"/>
        <w:ind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ascii="宋体" w:hAnsi="宋体" w:cs="宋体"/>
          <w:bCs/>
          <w:color w:val="auto"/>
          <w:sz w:val="28"/>
          <w:szCs w:val="28"/>
          <w:highlight w:val="none"/>
        </w:rPr>
        <w:t>2.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交货地点：</w:t>
      </w:r>
      <w:r>
        <w:rPr>
          <w:rFonts w:hint="eastAsia" w:hAnsi="宋体"/>
          <w:bCs/>
          <w:color w:val="auto"/>
          <w:sz w:val="28"/>
          <w:szCs w:val="28"/>
          <w:highlight w:val="none"/>
          <w:u w:val="single"/>
          <w:lang w:eastAsia="zh-CN"/>
        </w:rPr>
        <w:t>福建福州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。</w:t>
      </w:r>
    </w:p>
    <w:p>
      <w:pPr>
        <w:pStyle w:val="11"/>
        <w:spacing w:line="560" w:lineRule="exact"/>
        <w:ind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ascii="宋体" w:hAnsi="宋体" w:cs="宋体"/>
          <w:bCs/>
          <w:color w:val="auto"/>
          <w:sz w:val="28"/>
          <w:szCs w:val="28"/>
          <w:highlight w:val="none"/>
        </w:rPr>
        <w:t>3.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交货方式：</w:t>
      </w:r>
      <w:r>
        <w:rPr>
          <w:rFonts w:hint="eastAsia" w:hAnsi="宋体"/>
          <w:bCs/>
          <w:color w:val="auto"/>
          <w:sz w:val="28"/>
          <w:szCs w:val="28"/>
          <w:highlight w:val="none"/>
          <w:u w:val="single"/>
          <w:lang w:eastAsia="zh-CN"/>
        </w:rPr>
        <w:t>按甲方指定免费运送至指定地点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。</w:t>
      </w:r>
    </w:p>
    <w:p>
      <w:pPr>
        <w:pStyle w:val="11"/>
        <w:spacing w:line="560" w:lineRule="exact"/>
        <w:ind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（二）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产品包装和运输要求</w:t>
      </w:r>
    </w:p>
    <w:p>
      <w:pPr>
        <w:pStyle w:val="11"/>
        <w:spacing w:line="560" w:lineRule="exact"/>
        <w:ind w:left="11"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hint="eastAsia" w:hAnsi="宋体"/>
          <w:bCs/>
          <w:color w:val="auto"/>
          <w:sz w:val="28"/>
          <w:szCs w:val="28"/>
          <w:highlight w:val="none"/>
          <w:u w:val="single"/>
          <w:lang w:eastAsia="zh-CN"/>
        </w:rPr>
        <w:t>按甲方指定包装方式免费运送至指定地点</w:t>
      </w:r>
      <w:r>
        <w:rPr>
          <w:rFonts w:hAnsi="宋体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。</w:t>
      </w:r>
    </w:p>
    <w:p>
      <w:pPr>
        <w:pStyle w:val="11"/>
        <w:spacing w:line="560" w:lineRule="exact"/>
        <w:ind w:left="11" w:firstLine="560"/>
        <w:rPr>
          <w:rFonts w:hAnsi="宋体"/>
          <w:bCs/>
          <w:color w:val="auto"/>
          <w:sz w:val="28"/>
          <w:szCs w:val="28"/>
          <w:highlight w:val="none"/>
        </w:rPr>
      </w:pPr>
      <w:r>
        <w:rPr>
          <w:rFonts w:hint="eastAsia" w:hAnsi="宋体"/>
          <w:bCs/>
          <w:color w:val="auto"/>
          <w:sz w:val="28"/>
          <w:szCs w:val="28"/>
          <w:highlight w:val="none"/>
        </w:rPr>
        <w:t>（三）售后服务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★1.质量保证期：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自交货验收完毕之日算起，所有产品质保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eastAsia="zh-CN"/>
        </w:rPr>
        <w:t>至少</w:t>
      </w:r>
      <w:r>
        <w:rPr>
          <w:rFonts w:ascii="宋体" w:hAnsi="宋体"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个月。投标供应商对提供的物资在质保期内，因产品质量而导致的缺陷，应当免费提供包修、包换、包退服务，因此导致的损失采购单位有权向中标供应商追偿。超出质保期后，投标供应商应当提供上门维修服务，仅收取成本费。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</w:rPr>
        <w:t>2.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报价供应商应当承诺履行军事保密义务，在军事行动中提供应急支援保障服务。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ascii="宋体" w:hAnsi="宋体"/>
          <w:bCs/>
          <w:color w:val="auto"/>
          <w:sz w:val="28"/>
          <w:szCs w:val="28"/>
          <w:highlight w:val="none"/>
        </w:rPr>
        <w:t>3.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报价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供应商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应当承诺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提供该物资的技术培训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、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技术支持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和维修巡检服务，服务内容包括</w:t>
      </w: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>使用培训和维护培训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。</w:t>
      </w:r>
    </w:p>
    <w:p>
      <w:pPr>
        <w:pStyle w:val="11"/>
        <w:spacing w:line="560" w:lineRule="exact"/>
        <w:ind w:left="11" w:firstLine="560"/>
        <w:rPr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（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四</w:t>
      </w: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）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知识产权</w:t>
      </w:r>
      <w:r>
        <w:rPr>
          <w:rFonts w:hAnsi="宋体"/>
          <w:bCs/>
          <w:color w:val="auto"/>
          <w:sz w:val="28"/>
          <w:szCs w:val="28"/>
          <w:highlight w:val="none"/>
        </w:rPr>
        <w:t>和保密要求</w:t>
      </w:r>
    </w:p>
    <w:p>
      <w:pPr>
        <w:pStyle w:val="11"/>
        <w:spacing w:line="560" w:lineRule="exact"/>
        <w:ind w:firstLine="560"/>
        <w:rPr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报价供应商应当保证采购单位在使用该物资或其任何一部分时，不受第三方侵权指控。同时，报价供应商不得向第三方泄露采购机构提供的技术文件等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材料</w:t>
      </w: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。</w:t>
      </w:r>
    </w:p>
    <w:p>
      <w:pPr>
        <w:pStyle w:val="11"/>
        <w:spacing w:line="560" w:lineRule="exact"/>
        <w:ind w:firstLine="560"/>
        <w:rPr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基于项目合同履行形成的知识产权和其他权益，其权属归采购单位所有，法律另有规定的除外。</w:t>
      </w:r>
    </w:p>
    <w:p>
      <w:pPr>
        <w:pStyle w:val="11"/>
        <w:spacing w:line="560" w:lineRule="exact"/>
        <w:ind w:firstLine="560"/>
        <w:rPr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（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五</w:t>
      </w:r>
      <w:r>
        <w:rPr>
          <w:rFonts w:hAnsi="宋体"/>
          <w:bCs/>
          <w:color w:val="auto"/>
          <w:sz w:val="28"/>
          <w:szCs w:val="28"/>
          <w:highlight w:val="none"/>
          <w:lang w:val="zh-CN"/>
        </w:rPr>
        <w:t>）</w:t>
      </w:r>
      <w:r>
        <w:rPr>
          <w:rFonts w:hint="eastAsia" w:hAnsi="宋体"/>
          <w:bCs/>
          <w:color w:val="auto"/>
          <w:sz w:val="28"/>
          <w:szCs w:val="28"/>
          <w:highlight w:val="none"/>
        </w:rPr>
        <w:t>物资编码、</w:t>
      </w:r>
      <w:r>
        <w:rPr>
          <w:rFonts w:hAnsi="宋体"/>
          <w:bCs/>
          <w:color w:val="auto"/>
          <w:sz w:val="28"/>
          <w:szCs w:val="28"/>
          <w:highlight w:val="none"/>
        </w:rPr>
        <w:t>打码贴签要求</w:t>
      </w:r>
    </w:p>
    <w:p>
      <w:pPr>
        <w:pStyle w:val="11"/>
        <w:spacing w:line="560" w:lineRule="exact"/>
        <w:ind w:firstLine="560"/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本项目</w:t>
      </w: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采购单位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所提编目编码、打码贴签要求的，报价供应商应当予以明确响应，相关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费用包含在报价中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。</w:t>
      </w:r>
    </w:p>
    <w:p>
      <w:pPr>
        <w:pStyle w:val="11"/>
        <w:spacing w:line="560" w:lineRule="exact"/>
        <w:ind w:firstLine="560"/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★（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六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）付款及结算方式</w:t>
      </w:r>
    </w:p>
    <w:p>
      <w:pPr>
        <w:spacing w:line="560" w:lineRule="exact"/>
        <w:ind w:firstLine="560" w:firstLineChars="200"/>
        <w:rPr>
          <w:color w:val="auto"/>
          <w:highlight w:val="none"/>
          <w:u w:val="single"/>
          <w:lang w:val="zh-CN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本项目不预付货款，</w:t>
      </w: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物资运达指定地点验收合格后，成交供应商收集发运接收单、发票、验收报告等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材料</w:t>
      </w: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，提交采购单位办理结算手续，采购单位在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日</w:t>
      </w:r>
      <w:r>
        <w:rPr>
          <w:rFonts w:hint="eastAsia"/>
          <w:bCs/>
          <w:color w:val="auto"/>
          <w:sz w:val="28"/>
          <w:szCs w:val="28"/>
          <w:highlight w:val="none"/>
          <w:lang w:val="zh-CN"/>
        </w:rPr>
        <w:t>内向中标供应商支付货款。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宋体" w:hAnsi="宋体"/>
          <w:bCs/>
          <w:snapToGrid w:val="0"/>
          <w:color w:val="auto"/>
          <w:sz w:val="28"/>
          <w:szCs w:val="28"/>
          <w:highlight w:val="none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hint="eastAsia" w:ascii="宋体" w:hAnsi="宋体"/>
          <w:bCs/>
          <w:snapToGrid w:val="0"/>
          <w:color w:val="auto"/>
          <w:sz w:val="28"/>
          <w:szCs w:val="28"/>
          <w:highlight w:val="none"/>
        </w:rPr>
        <w:t>（七）质量保证金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bCs/>
          <w:snapToGrid w:val="0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zh-CN"/>
        </w:rPr>
        <w:t>物资检验验收合格并完成交货后30天内，合同甲方凭合同乙方提供的相关票据单证，向合同乙方支付合同总金额的95%，余5%作为质量保证金，质量保证金一般在质保期满且无质量问题时全额无息退还</w:t>
      </w:r>
      <w:r>
        <w:rPr>
          <w:rFonts w:hint="eastAsia" w:ascii="宋体" w:hAnsi="宋体"/>
          <w:bCs/>
          <w:snapToGrid w:val="0"/>
          <w:color w:val="auto"/>
          <w:sz w:val="28"/>
          <w:szCs w:val="28"/>
          <w:highlight w:val="none"/>
        </w:rPr>
        <w:t>。</w:t>
      </w:r>
    </w:p>
    <w:p>
      <w:pPr>
        <w:snapToGrid w:val="0"/>
        <w:spacing w:line="560" w:lineRule="exact"/>
        <w:ind w:left="560"/>
        <w:rPr>
          <w:rFonts w:ascii="宋体" w:hAnsi="宋体"/>
          <w:bCs/>
          <w:snapToGrid w:val="0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（八）</w:t>
      </w:r>
      <w:r>
        <w:rPr>
          <w:rFonts w:hint="eastAsia" w:ascii="宋体" w:hAnsi="宋体"/>
          <w:bCs/>
          <w:snapToGrid w:val="0"/>
          <w:color w:val="auto"/>
          <w:sz w:val="28"/>
          <w:szCs w:val="28"/>
          <w:highlight w:val="none"/>
        </w:rPr>
        <w:t>备品备件要求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</w:pP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★</w:t>
      </w:r>
      <w:r>
        <w:rPr>
          <w:rFonts w:ascii="宋体" w:hAnsi="宋体"/>
          <w:bCs/>
          <w:color w:val="auto"/>
          <w:sz w:val="28"/>
          <w:szCs w:val="28"/>
          <w:highlight w:val="none"/>
        </w:rPr>
        <w:t>1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.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报价供应商应当提供物资生命周期内所需零备件和消耗品清单，并明确供应周期和价格、折扣价等优惠条件</w:t>
      </w:r>
      <w:r>
        <w:rPr>
          <w:rFonts w:hint="eastAsia" w:ascii="宋体" w:hAnsi="宋体" w:cs="Times New Roman"/>
          <w:bCs/>
          <w:sz w:val="28"/>
          <w:szCs w:val="28"/>
          <w:lang w:val="zh-CN" w:eastAsia="zh-CN"/>
        </w:rPr>
        <w:t>（见附件2-8）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。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</w:pPr>
      <w:r>
        <w:rPr>
          <w:rFonts w:ascii="宋体" w:hAnsi="宋体"/>
          <w:bCs/>
          <w:color w:val="auto"/>
          <w:sz w:val="28"/>
          <w:szCs w:val="28"/>
          <w:highlight w:val="none"/>
        </w:rPr>
        <w:t>2</w:t>
      </w:r>
      <w:r>
        <w:rPr>
          <w:rFonts w:ascii="宋体" w:hAnsi="宋体"/>
          <w:bCs/>
          <w:color w:val="auto"/>
          <w:sz w:val="28"/>
          <w:szCs w:val="28"/>
          <w:highlight w:val="none"/>
          <w:lang w:val="zh-CN"/>
        </w:rPr>
        <w:t>.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报价供应商应当承诺，对售后服务需求提供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>4小时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响应，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小时内到达现场实施维修。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u w:val="single"/>
          <w:lang w:val="en-US" w:eastAsia="zh-CN"/>
        </w:rPr>
        <w:t>48</w:t>
      </w:r>
      <w:r>
        <w:rPr>
          <w:rFonts w:hint="eastAsia" w:ascii="宋体" w:hAnsi="宋体"/>
          <w:bCs/>
          <w:color w:val="auto"/>
          <w:sz w:val="28"/>
          <w:szCs w:val="28"/>
          <w:highlight w:val="none"/>
          <w:lang w:val="zh-CN"/>
        </w:rPr>
        <w:t>小时仍未排除故障、恢复正常运转的，由投标供应商提供同类型备品、备件等。</w:t>
      </w:r>
      <w:bookmarkEnd w:id="25"/>
    </w:p>
    <w:p>
      <w:pPr>
        <w:pStyle w:val="6"/>
        <w:spacing w:before="0" w:after="0" w:line="560" w:lineRule="exact"/>
        <w:ind w:firstLine="560" w:firstLineChars="200"/>
        <w:rPr>
          <w:rFonts w:ascii="黑体" w:hAnsi="黑体" w:cs="黑体"/>
          <w:b w:val="0"/>
          <w:color w:val="auto"/>
          <w:sz w:val="28"/>
          <w:szCs w:val="28"/>
          <w:highlight w:val="none"/>
        </w:rPr>
      </w:pPr>
      <w:bookmarkStart w:id="26" w:name="_Toc128154368"/>
      <w:bookmarkStart w:id="27" w:name="_Toc132186975"/>
      <w:bookmarkStart w:id="28" w:name="_Toc128470295"/>
      <w:bookmarkStart w:id="29" w:name="_Toc132191259"/>
      <w:bookmarkStart w:id="30" w:name="_Toc130888007"/>
      <w:r>
        <w:rPr>
          <w:rFonts w:hint="eastAsia" w:ascii="黑体" w:hAnsi="黑体" w:cs="黑体"/>
          <w:b w:val="0"/>
          <w:color w:val="auto"/>
          <w:sz w:val="28"/>
          <w:szCs w:val="28"/>
          <w:highlight w:val="none"/>
        </w:rPr>
        <w:t>二、技术要求</w:t>
      </w:r>
      <w:bookmarkEnd w:id="26"/>
      <w:bookmarkEnd w:id="27"/>
      <w:bookmarkEnd w:id="28"/>
      <w:bookmarkEnd w:id="29"/>
      <w:bookmarkEnd w:id="30"/>
    </w:p>
    <w:p>
      <w:pPr>
        <w:tabs>
          <w:tab w:val="left" w:pos="0"/>
        </w:tabs>
        <w:spacing w:line="560" w:lineRule="exact"/>
        <w:ind w:firstLine="562" w:firstLineChars="200"/>
        <w:rPr>
          <w:rFonts w:ascii="Bradley Hand ITC" w:hAnsi="Bradley Hand ITC" w:cs="Microsoft Uighur"/>
          <w:bCs/>
          <w:i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  <w:highlight w:val="none"/>
          <w:lang w:val="zh-CN"/>
        </w:rPr>
        <w:t>关键性技术指标参数前标记“★”符号，一般性指标参数前不作标记。带“★”条款需提供技术支持材料（以具体项目为准，技术支持材料可以从（不限于）以下支持材料选择：产品规格表、产品宣传彩页、技术白皮书、制造商官方网站发布的产品信息、说明书等或检测机构出具的检测报告等技术材料支持的）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宋体" w:hAnsi="宋体"/>
          <w:bCs/>
          <w:snapToGrid w:val="0"/>
          <w:color w:val="auto"/>
          <w:sz w:val="28"/>
          <w:szCs w:val="28"/>
          <w:highlight w:val="none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417" w:right="1134" w:bottom="1417" w:left="1417" w:header="851" w:footer="850" w:gutter="0"/>
          <w:pgNumType w:fmt="decimal"/>
          <w:cols w:space="0" w:num="1"/>
          <w:rtlGutter w:val="0"/>
          <w:docGrid w:linePitch="312" w:charSpace="0"/>
        </w:sectPr>
      </w:pPr>
    </w:p>
    <w:p>
      <w:pPr>
        <w:autoSpaceDE w:val="0"/>
        <w:autoSpaceDN w:val="0"/>
        <w:adjustRightInd w:val="0"/>
        <w:snapToGrid w:val="0"/>
        <w:spacing w:line="578" w:lineRule="exact"/>
        <w:ind w:firstLine="562" w:firstLineChars="200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32" w:name="_GoBack"/>
      <w:bookmarkEnd w:id="32"/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合同包二：彩色多普勒超声诊断系统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  途：用于试管婴儿取卵、移植手术使用。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  量：1台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31" w:name="OLE_LINK5"/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bookmarkEnd w:id="31"/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 CFDA注册证；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3.2彩色多谱勒超声波诊断仪包括：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 二维灰阶成像部件；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3.2.2 M型显示和分析系统；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3.2.3 频谱多谱勒显示及分析系统；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3.2.4 彩色多谱勒超声波诊断部件；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3.2.5 能量多谱勒超声波诊断部件；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3.2.6 连续多谱勒显示及分析系统；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3.2.7 组织多谱勒成像单元；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3.2.8 谐波成像单元；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3.2.8.1 具备纯净脉冲反转谐波；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3.2.8.2 具备宽带谐波；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3.2.9 高分辨率彩色血流成像技术，可提供极高的空间分辨力，同时保证帧频；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3.2.9.1 有方向性，可测量速度，最低显示速度≤0.01m/s；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▲3.2.10 二维和彩色多谱勒实时双幅显示；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3.2.11 二维和彩色多普勒动态双幅显示时可双幅同时显示穿刺引导线；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3.2.12 穿刺针实时双幅增强显示功能；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3.2.12.1 增强显示的穿刺针道可变角度≥35°，步长≤5°；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3.3.12.2 冻结后可调多个参数；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3.2.13 图像局部放大功能，放大不失帧；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3.2.14 具备多普勒角度自动校正功能；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3.2.15 具备精细图像处理技术；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3.2.15.1 原始数据，冻结后可用；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3.2.15.2 可视可调≥3级；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3.2.16 具备梯形成像功能；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3.2.17 具备实时双幅显示二维图像和慢放图像功能,慢放速度可实时调节；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3.2.18 二维模式下可监听多普勒声音；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▲3.2.19配备增强多谱勒血流成像技术：可用于子宫内膜容受性相关的内膜及内膜下细小的血流监测、评估；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3.3测量和分析:(B型,M型,频谱多谱勒,彩色多谱勒)：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3.3.1 一般测量；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3.3.2 产科测量与分析；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3.3.3 妇科测量与分析；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▲3.3.3.1 具备专业卵泡测量软件包；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▲3.3.3.2 可自动计算卵泡大小及平均值；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▲3.3.3.3 具备专业卵泡评估报告，卵泡可自动大小排序；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▲3.3.3.4 报告中每侧可显示卵泡≥10个；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 图像存储与(电影)回放重现单元；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3.5输入/输出信号: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3.5.1 输入:VCR,外部视频；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3.5.2 输出:复合视频,S-视频；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 图像管理与记录装置：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3.6.1 超声图像存档与病案管理；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3.6.2 USB接口；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3.6.3 与DICOM3.0兼容；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3.7轨迹球显示颜色可调≥7种；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3.8 具备中文操作界面；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3.9系统通用功能：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3.9.1 监视器≥17英寸高分辨率彩色液晶显示器,高分辨率逐行扫描；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3.9.2 探头接口数:≥3个；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 探头规格：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3.10.1 频率:宽频或变频探头，所有具体成像频率在屏幕上显示；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▲3.10.1.1 变频探头基波中心频率可选择≥4种；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3.10.1.2多谱勒可选择≥2种不同频率；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3.10.2 类型：凸阵、线阵、相控阵；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3.10.3 B、D、M兼用: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凸阵:B/PWD，B/M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线阵:B/PWD，B/M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相控阵:B/PWD,B/CWD，B/M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3.10.4 穿刺导向:探头可选配穿刺导向装置；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 灰阶显像主要参数: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3.11.1凸阵、线阵探头具有谐波功能； 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3.11.2 成像速率：凸阵探头帧速率≥28帧/秒（全视野，18cm深，最高线密度）；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▲3.11.3 曲柄腔内探头扫描角度:≥120°，曲率半径（R）≥14，曲柄角度≥30°；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3.11.4 发射声束聚焦：发射≥8段；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3.11.5 最大扫描深度：≥30cm；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3.11.6 接收方式：前端发射通道为≥1024，多波束信号并行处理；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3.11.7 数字式声束形成器:数字式全程动态聚焦,数字式可变孔径及动态变迹,A/D≥12bit；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3.11.8 谐波成像基波频率个数≥4，谐波成像与基波成像帧频相同；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3.11.9 回放重现: 灰阶图像回放≥10000帧；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3.11.10 预设条件:针对不同的检查脏器,预置最佳化图像的检查条件,减少操作时的调节,及常用所需的外部调节及组合调节；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3.11.11 增益调节：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3.11.11.1 B、M、D可独立调节；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3.11.11.2 STC分段≥8段调节；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3.11.11.3实时调节或冻结后可再调节；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▲3.11.12具有横向增益调节≥8段；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 频谱多谱勒: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3.12.1 方式:脉冲波多谱勒PWD，包括高频脉冲HPRF；连续波多普勒CW；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3.12.2 最大测量速度：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3.12.2.1 PWD2.OMHz：正向或反向血流速度≥7.00m/s；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3.12.2.1 CW2.0MHz：正向或反向血流速度≥15.00m/s；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3.12.3 最低测量速度：≤1mm/s（非噪声信号）；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3.12.4 多普勒自动描记：实时自动描记和冻结后自动描记两种方式；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3.12.5 显示方式：B/D、M/D、B/M 以及 M 型取样线可任意改变角度；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3.12.6 零位移动：≥6级；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3.12.7 取样宽度及位置范围：宽度0.5mm - 20mm，逐段可调；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3.12.8 多普勒基线位置可实时调节或冻结后再调节；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3.12.9 滤波器：分级可调，PW、CW分别可调；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3.12.10 显示控制：反转显示（左/右；上/下）、零移位、B-刷新（手控、时间、同步）、D扩展、B/D扩展，局放及移位；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 彩色多谱勒：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3.13.1 显示方式：速度方差显示、能量显示、速度显示、方差显示；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3.13.2 彩色显示帧频： 凸阵探头彩色显示帧频≥14帧/秒（全视野，18cm深）；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3.13.3 显示位置调整：线阵扫描彩色取样框偏转范围：-15°~+15°；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3.13.4 显示控制：零位移动、黑/白与彩色比较、彩色对比；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3.13.5 彩色增强功能：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3.13.5.1 能量图；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3.13.5.2 方向能量图；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3.13.5.3 高精细彩色增强技术；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3.13.5.4 彩色捕捉功能；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3.13.6 彩色运动抑制技术：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3.14 超声功率输出调节：B/M/PWD/彩色多谱勒输出功率可调；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3.15 数字化图像管理与记录装置；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3.15.1 原始数据存储，主机硬盘≥230G；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3.16 配备USB接口；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3.17 动态图像及静态图像以AVI、BMP或JPEG格式直接存储到存储媒介，不需要特殊软件转换；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▲3.18 所配软件为最新版本，以注册证为准。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 彩色多普勒超声诊断系统 1台；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4.2腹部凸阵探头  1把; 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4.3经阴道腔内探头  1把；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3" w:firstLineChars="200"/>
        <w:rPr>
          <w:rFonts w:hint="eastAsia" w:ascii="宋体" w:hAnsi="宋体" w:eastAsia="宋体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合同包三：便携式彩色多普勒超声诊断仪（高档）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  途：主要用于腹部、妇产、心脏、泌尿、外周血管、小器官、肌肉骨骼、神经、术中，介入等方面的临床诊断；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  量：1台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★3.1具备NMPA（CFDA）注册证；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3.2数字化二维灰阶成像单元；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3.3组织速度特征成像；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3.4数字化彩色/频谱多普勒单元和分析单元；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3.5数字化能量血流成像单元；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3.6全数字式波束形成器；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3.7 B模式/ CFM / PWD模式分别独立角度偏转功能；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3.8两种组织谐波成像模式, 可用于全部2D探头和4D探头，谐波频率明确显示，可视可调；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3.9高清晰斑点噪音抑制技术；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3.10系统动态范围≥280dB；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3.11支持跟踪对比技术，并可进行图像处理和测量注释；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3.12可选择支持心脏导航功能；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3.13具备TGC调节；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3.14可选择支持曲线解剖 M 型：多点任意描记； 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3.15可选择支持4条解剖M型； 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3.16具备组织多普勒成像；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3.17可选择支持血管内中膜实时自动测量；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3.18可选择支持二维宽景成像、彩色宽景、能量宽景；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3.19可选择支持应变式弹性成像；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3.20可选择支持2D卵泡智能识别功能；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3.21可选择支持智能盆底测量与评估功能；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3.22可选择支持小儿髋关节自动辅助测量功能；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3.23具备穿刺引导，并具备≥3种引导方式；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3.24具备穿刺增强功能，根据进针角度，自动调节声束角度；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3.25具备全屏放大显示功能；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3.26具备Zoom 局部放大功能；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3.27具备双幅实时成像；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3.28焦点个数：≥8个，数量可调；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3.29具备实时双同步、三同步；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3.30具备图像自动优化功能；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3.31测量和分析：(B型、M型、频谱多普勒、彩色模式)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3.31.1一般测量；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3.31.2急诊、肾内、麻醉、重症、肌骨测量包；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3.31.3妇、产科测量包，支持产科自动测量；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3.31.4血管测量包；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3.31.5泌尿科测量与分析，支持膀胱自动测量；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3.31.6肾脏测量包；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3.31.7容积测量包；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3.31.8多普勒血流测量与分析；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3.31.9自动多普勒血流测量与分析；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3.31.10可选择支持一键自动血流量测量，可自动识别血管并计算显示血管内径数值；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3.31.11具备用户自定义测量功能；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▲3.32具备自动工作流功能，可自定义检查规范，并具备智能程序化操作流程编辑功能，如：自动注释、体标（体标上探头的位置和方向）等；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3.33图像存储与(电影)回放重现单元；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3.34输入/输出信号：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3.34.1输入：音频；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3.34.2输出：DVI、音频；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3.34.3支持DICOM3.0；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3.35连通性：AVI，可支持DICOM3.0医学数字图像格式；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3.36图像管理与记录装置：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3.36.1超声图像存档与病案管理系统；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3.36.2硬盘≥250GB；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3.36.3 DVD –RW；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3.36.4 USB接口：≥2个，可一键快速将图象存储至USB、硬盘；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3.36.5具备用户报告系统；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3.37系统通用功能：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 xml:space="preserve">3.37.1液晶监视器：≥15英寸； 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★3.37.2具备电容操作触摸屏：≥8英寸；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▲3.37.3触摸屏可手写画图、手动圈注、手写标记示教；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3.37.4触摸屏功能布局界面可自定义；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▲3.37.5主机重量≤4Kg；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3.38探头规格：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3.38.1频率：宽频带或变频探头，可在监视器上显示工作频率；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▲3.38.2支持最高频率≥16MHz的探头；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3.38.3振子：凸阵探头有效振子数≥128振子；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▲3.38.4配备探头穿刺导向装置；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3.39二维灰阶显像主要参数：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3.39.1扫描速率：凸阵探头帧速率≥30帧/秒（全视野，18cm深度时）；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3.39.2扫描线：每帧线密度≥512超声线；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3.39.3发射声束聚焦：连续聚焦；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3.39.4接收方式：多倍信号并行处理；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3.39.5数字式声束形成器：A/D≥12bit；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3.39.6回放重现：回放时间≥1000秒；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3.39.7具备预设条件功能；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3.39.8增益调节：B/M可独立调节，TGC分段调节；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3.39.9支持彩色M型；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3.39.10最大显示深度≥38cm；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3.40频谱多普勒：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3.40.1方式：PWD、CWD；PWD血流速度最大15m/s，CWD血流速度≥25m/s；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3.40.2最低测量速度：≤1mm/s(非噪声信号)；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3.40.3显示方式：B/PWD、B/CF+PWD；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3.40.4零位移动：≥12级；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3.40.5取样宽度：宽度范围最小≤0.5mm，最大≥30mm；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3.40.6显示控制：反转显示(左/右；上/下)零移位；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3.40.7频谱自动跟踪与测量；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3.41彩色多普勒：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3.41.1显示方式：速度方差显示、能量显示，速度显示、方差显示；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3.41.2具有双同步 / 三同步显示(B/PW/CF、B/PW/PDI)；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▲3.41.3彩色模式下支持彩色血流显示功能；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3.41.4彩色显示帧频：凸阵探头彩色显示帧频≥8帧/秒（最大角度，18cm深时）；相控阵探头彩色显示帧频≥18帧/秒（最大角度，18cm深时）；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3.41.5显示位置调整：线阵扫描感兴趣的图像范围：最小≤-20°最大≥+20°；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3.41.6彩色多普勒能量图，彩色方向性能量图；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3.41.7彩色显示速度：最低平均血流显示速度≤1cm/s；（非噪声信号）；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★3.42 具备教学助手功能：支持腹部、浅表、血管、神经和肌骨关节（含肩关节，腕关节，踝关节，肘关节）等标准超声扫查教学内容。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4.1便携式彩色多普勒超声诊断仪（高档）  1套；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4.2 腹部探头 1把；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4.3 浅表探头 1把；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4.4 心脏探头 1把；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4.5 穿刺架 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/>
          <w:b/>
          <w:bCs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合同包四：微波治疗仪（高档）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途：用于缓解由软组织、浅表关节的创伤和风湿引起的疼痛。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量：1台。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★3.1具备NMPA（CFDA）注册证；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▲3.2具备CE认证；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3.3频率：2450 MHz±50MHz；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▲3.4辐射器≥2种；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▲3.5具备连续输出模式和脉冲输出模式；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3.6连续输出模式峰值输出功率：≥250W；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3.7脉冲输出模式峰值输出功率：≥1500W；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3.8连续/脉冲输出剂量可调：0W～250W；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3.9内置不同病症临床治疗方案≥45个，可自定义处方存储≥100个；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3.10脉冲输出模式占空比可调：20%～80%；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3.11峰值率（每秒脉冲次数）可调：1次～4次；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▲3.12脉冲输出模式下可以“等剂量（平均功率）”切换为连续输出模式，无需中断治疗并重新设定参数；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3.13具备内部温度过高、辐射器连接错误、电路故障等报警功能；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3.14治疗作用包括热作用和非热作用。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4.1微波治疗仪（高档）1台。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合同包五：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品目号5-1 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多体位医用诊疗床（五段）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途：用于承载和护理损伤康复患者。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量：3台。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★3.1具备NMPA(CFDA)注册证（备案证）；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▲3.2五段位设计，各段位角度均可调节；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▲3.3配置脚轮，床固定时脚轮可收回；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▲3.4具备脚控开关；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▲3.5扶手升降可调，可平面旋转360°，≥3个固定位；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▲3.6抗菌耐磨高弹力皮革；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3.7具备支撑脚架；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3.8床体中间部位由电机控制，具有起脊功能；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3.9床板安全工作载荷：≥1700N；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3.10床面规格：≥65(宽)cm*190(长)cm；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3.11升降高度：55cm～100cm；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3.12头部段面调节角度：-60°～45°；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3.13腿部段面最大调节角度：≥75°；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3.14胸腰段面最大调节角度：≥120°；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3.15上臂支架高度可调：0～25cm；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3.16配备紧急停止开关；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3.17运行模式：间歇运行；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▲3.18防进液程度：不低于IPX4。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4.1多体位医用诊疗床（五段）  3台；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品目号5-2  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普通理疗按摩床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途：适用于康复师对受训者进行手法按摩。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量：5台。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3.1外形尺寸：≥1900x600x600mm；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3.2安全工作载荷: ≥100kg。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 普通理疗按摩床  5台；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合同包六：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品目号6-1 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多功能高频电刀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★1.用途：主要用于切割组织，凝血使用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2.数量：1台。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★3.1具备NMPA(CFDA)注册证（备案证）；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3.2单极电切：≥3种切割模式；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3.3单极电凝：≥3种电凝模式；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▲3.4双极电凝：具有自动电凝延时控制功能（1s、0.5s、0S可调）；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▲3.5单极模式具有2路输出，可满足两把单极器械的同时使用，并且每路输出的模式和功率可以分别单独设置；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3.6安全控制系统：每次开机及运行过程中，系统自动检测电路和输出，实现全程安全控制；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3.7负极板实时检测系统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3.8具备输出功率自动调节；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3.9设备具有掉电自动记忆功能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 高频电刀1台；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品目号6-2 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熏蒸治疗机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途：用于中药熏蒸。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量：1台。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★3.1具备NMPA(CFDA)注册证（备案证）；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3.2床体尺寸：长≥2000mm，宽≥700mm，高≥1000mm；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3.3操作台尺寸：长≥400mm，宽≥300mm，高≥800mm；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3.4治疗机温度：可在1～99℃范围设定，室温～45℃为熏蒸温度，步进1℃，允差为±5℃，46～99℃为煎药温度；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3.5具备治疗时间控制功能；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3.6最大加液量：≥5L；中药药液雾化功能：单区雾化量≥40mL/h；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3.7运行模式：连续运行；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3.8熏蒸加热区：≥3区；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3.9熏蒸面积：≥1500mm×300mm；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3.10具备防干烧装置；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3.11具备应急停止加热按钮；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3.12具备臭氧消毒功能；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4.1熏蒸治疗机1台；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品目号6-3 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艾灸治疗仪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途：人体穴位的艾灸治疗。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量：1台。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★3.1具备NMPA(CFDA)注册证（备案证）；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3.2通道数：≥3；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3.3具备定时功能；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3.4磁场强度:≥10mT；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3.5具备手动停止输出的功能。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3.6具备断电保护、超温保护功能；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3.7可实施隔物灸和温针灸。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4.1艾灸治疗仪1台；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default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4.2艾绒片200片。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品目号6-4 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热垫磁疗仪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  途：用于慢性软组织损伤引起疼痛的辅助治疗。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  量：1台。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★3.1具备NMPA（CFDA）注册证；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3.2显示方式：液晶显示；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3.3治疗时间可调，允许误差范围：≤±30s，步进≤10min；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3.4加热温度设定范围：最小值≤40℃，最大值≥45℃，允许误差范围：≤±3℃，步进≤1℃；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▲3.5磁场强度：≥20mT，允许误差范围：≤±30%；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3.6连接线：长度≥2200mm；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▲3.7永久性磁体：直径≥10mm。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4.1热垫磁疗仪1台。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品目号6-5 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电动综合手术台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途：适用于痔疮检查、诊断和一般手术之用。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量：1台。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★3.1具备NMPA(CFDA)注册证（备案证）；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3.2床面长度和宽度≥1300mm×600mm；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3.3床面升降最低高度≤750mm；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3.4床面升降最高高度≥1000mm；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3.5床面前后倾角度：前倾≥10°，后倾≥25°；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3.6背板折转角度：上折≥75°，下折≥10°；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default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3.7适用于痔疮手术。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 电动综合手术台  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品目号6-6 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超短波电疗仪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途：用于对人体进行止痛、解痉、消炎的辅助治疗。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量：2台。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★3.1具备NMPA（CFDA）注册证；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3.2输出功率：≥200W，允许误差范围：≤±20%；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3.3工作频率：≥25MHz，允许误差范围：≤±0.6%；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3.4治疗时间设定范围：最小值≤10 min，最大值≥30min，允许误差范围：≤±10%；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3.5连续工作时间：≥4h。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4.1超短波电疗仪2台。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合同包七：内热针治疗仪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  途：用于进行颈肩腰腿痛的针灸治疗。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  量：1台。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★3.1具备NMPA(CFDA)注册证；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zh-CN" w:eastAsia="zh-CN"/>
        </w:rPr>
        <w:t>▲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3.2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zh-CN" w:eastAsia="zh-CN"/>
        </w:rPr>
        <w:t>具备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CE认证或FDA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zh-CN" w:eastAsia="zh-CN"/>
        </w:rPr>
        <w:t>认证；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3.3输入功率：≤160W；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3.4单针输出功率：≤1.2W；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★3.5温度测量范围：最小值≤30℃，最大值≥70℃；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★3.6温度测量精度：≤±1.0℃；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3.7温度设置范围：最小值≤38℃，最大值≥50℃；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▲3.8温度控制精度：≤±1.5℃；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3.9控温定时时间：最小值≤60s，最大值≥1800s；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3.10时间控制精度：≤±5S；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3.11具备立式推车，带有治疗连接线可旋转调节支架；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3.12具备彩色触摸屏≥7寸；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▲3.13具备二线制测控温功能，两根导线即可实现温度测量、温度控制加热功能；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★3.14内热针需同时具备加热功能、测温功能、控温功能。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4.1内热针治疗仪1台。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合同包八：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78" w:lineRule="exact"/>
        <w:ind w:firstLine="643" w:firstLineChars="200"/>
        <w:textAlignment w:val="auto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品目号8-1 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可视喉镜（电子支气管内镜）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★1.用  途：</w:t>
      </w:r>
      <w:r>
        <w:rPr>
          <w:rFonts w:hint="default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鼻咽癌患者放疗后复查和疗效评估。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2.数  量：1台。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★3.1具备NMPA（CFDA）注册证；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★3.2高像素CMOS呈像，图像清晰；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★3.3视野角：≥100°；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3.4观察景深：3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rtl w:val="0"/>
          <w:lang w:val="zh-TW" w:eastAsia="zh-TW"/>
        </w:rPr>
        <w:t>～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50mm；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3.5头端部外径：≤5.2mm；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3.6插入部外径：≤4.8mm；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▲3.7钳道孔径：≥2.2mm；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3.8弯曲角度：上≥160°下≥130°；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▲3.9有效长度≥600mm；总长≥900mm；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▲3.10吸引量≥120ml/min；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3.11全防水测漏检测功能；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3.12屏幕尺寸：≥3.5英寸；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3.13分辨率：≥940*480；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3.14内置可充电锂电池，可连续工作≥4小时；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3.15内存≥16GB内存卡，支持长时间视频及大量图片存储；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3.16光源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3.16.1外置LED灯冷光源，可提供优质的照明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3.16.2工作距离：≥25mm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3.16.3色温：3200K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rtl w:val="0"/>
          <w:lang w:val="zh-TW" w:eastAsia="zh-TW"/>
        </w:rPr>
        <w:t>～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6000K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FF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FF0000"/>
          <w:kern w:val="0"/>
          <w:sz w:val="28"/>
          <w:szCs w:val="28"/>
          <w:highlight w:val="none"/>
          <w:lang w:val="en-US" w:eastAsia="zh-CN"/>
        </w:rPr>
        <w:t>3.16.4照度：≥2000Lux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56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4.1可视喉镜（电子支气管内镜）1台</w:t>
      </w:r>
    </w:p>
    <w:p>
      <w:pPr>
        <w:autoSpaceDE w:val="0"/>
        <w:autoSpaceDN w:val="0"/>
        <w:adjustRightInd w:val="0"/>
        <w:snapToGrid w:val="0"/>
        <w:spacing w:line="578" w:lineRule="exact"/>
        <w:ind w:firstLine="643" w:firstLineChars="200"/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578" w:lineRule="exact"/>
        <w:ind w:firstLine="643" w:firstLineChars="200"/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品目号8-2 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可视喉镜（带屏幕）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★1.用    途：快速急救插管，特别使用困难插管。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2.数    量：1台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3.技术参数：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★3.1具备NMPA（CFDA）注册证；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3.2 显示器屏幕≥2.5英寸；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3.3 光源照度 ≥150LUX；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3.4 配置可重复消毒喉镜片；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3.5 分辨率≥3.50LP/mm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3.6 内置电池: 可持续使用≥4小时；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 xml:space="preserve">3.7 具备图像存储与传输功能。 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★4.配置清单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4.1可视喉镜（带屏幕）  1台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4.2成人喉镜片3个</w:t>
      </w:r>
    </w:p>
    <w:p>
      <w:pPr>
        <w:autoSpaceDE w:val="0"/>
        <w:autoSpaceDN w:val="0"/>
        <w:adjustRightInd w:val="0"/>
        <w:snapToGrid w:val="0"/>
        <w:spacing w:line="578" w:lineRule="exact"/>
        <w:ind w:firstLine="600" w:firstLineChars="200"/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4.3儿童喉镜片2个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Bradley Hand ITC">
    <w:altName w:val="Mongolian Baiti"/>
    <w:panose1 w:val="03070402050302030203"/>
    <w:charset w:val="00"/>
    <w:family w:val="script"/>
    <w:pitch w:val="default"/>
    <w:sig w:usb0="00000000" w:usb1="00000000" w:usb2="00000000" w:usb3="00000000" w:csb0="20000001" w:csb1="00000000"/>
  </w:font>
  <w:font w:name="Microsoft Uighur">
    <w:altName w:val="Trebuchet MS"/>
    <w:panose1 w:val="02000000000000000000"/>
    <w:charset w:val="B2"/>
    <w:family w:val="auto"/>
    <w:pitch w:val="default"/>
    <w:sig w:usb0="00000000" w:usb1="00000000" w:usb2="00000008" w:usb3="00000000" w:csb0="0000004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124978362" o:spid="_x0000_s4098" o:spt="136" type="#_x0000_t136" style="position:absolute;left:0pt;height:219.8pt;width:439.6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线下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124978361" o:spid="_x0000_s4097" o:spt="136" type="#_x0000_t136" style="position:absolute;left:0pt;height:219.8pt;width:439.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线下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Zjg3OGYwNTA4YjUyMDZhZWU3ZTM4ODNhOTgzNjkifQ=="/>
  </w:docVars>
  <w:rsids>
    <w:rsidRoot w:val="00000000"/>
    <w:rsid w:val="5D0708A3"/>
    <w:rsid w:val="7D5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方正小标宋简体"/>
      <w:b/>
      <w:bCs/>
      <w:sz w:val="44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  <w:rPr>
      <w:sz w:val="24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toc 1"/>
    <w:basedOn w:val="1"/>
    <w:next w:val="1"/>
    <w:qFormat/>
    <w:uiPriority w:val="39"/>
    <w:pPr>
      <w:spacing w:line="360" w:lineRule="auto"/>
      <w:jc w:val="left"/>
    </w:pPr>
    <w:rPr>
      <w:rFonts w:eastAsia="黑体" w:asciiTheme="minorEastAsia" w:hAnsiTheme="minorEastAsia"/>
      <w:sz w:val="32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2024-01-23T06:18:00Z</dcterms:created>
  <dc:creator>Administrator.PC-20220120TLMN</dc:creator>
  <cp:lastModifiedBy>Administrator</cp:lastModifiedBy>
  <dcterms:modified xsi:type="dcterms:W3CDTF">2024-01-26T08:49:59Z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D7117D3BC365478C9E2DFCC2D1FAEA88_12</vt:lpwstr>
  </property>
</Properties>
</file>